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asciiTheme="minorEastAsia" w:hAnsiTheme="minorEastAsia" w:eastAsiaTheme="minorEastAsia"/>
          <w:b/>
          <w:color w:val="000000"/>
          <w:kern w:val="0"/>
          <w:sz w:val="36"/>
          <w:szCs w:val="36"/>
          <w:lang w:val="en-US" w:eastAsia="zh-CN"/>
        </w:rPr>
      </w:pPr>
      <w:r>
        <w:rPr>
          <w:rFonts w:hint="eastAsia" w:cs="宋体" w:asciiTheme="minorEastAsia" w:hAnsiTheme="minorEastAsia" w:eastAsiaTheme="minorEastAsia"/>
          <w:b/>
          <w:color w:val="000000"/>
          <w:kern w:val="0"/>
          <w:sz w:val="36"/>
          <w:szCs w:val="36"/>
          <w:lang w:val="en-US" w:eastAsia="zh-CN"/>
        </w:rPr>
        <w:t>中山大学附属第三医院粤东医院广梅开发区医院</w:t>
      </w:r>
    </w:p>
    <w:p>
      <w:pPr>
        <w:jc w:val="center"/>
        <w:rPr>
          <w:rFonts w:hint="eastAsia"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全自动内镜清洗消毒机技术参数</w:t>
      </w:r>
    </w:p>
    <w:p>
      <w:pPr>
        <w:jc w:val="left"/>
        <w:rPr>
          <w:rFonts w:hint="eastAsia"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20"/>
          <w:szCs w:val="20"/>
          <w:lang w:val="en-US" w:eastAsia="zh-CN"/>
        </w:rPr>
        <w:t>一、全自动内镜清洗消毒机参数及配置要求</w:t>
      </w:r>
    </w:p>
    <w:tbl>
      <w:tblPr>
        <w:tblStyle w:val="2"/>
        <w:tblW w:w="8931" w:type="dxa"/>
        <w:tblInd w:w="15" w:type="dxa"/>
        <w:tblLayout w:type="fixed"/>
        <w:tblCellMar>
          <w:top w:w="15" w:type="dxa"/>
          <w:left w:w="15" w:type="dxa"/>
          <w:bottom w:w="15" w:type="dxa"/>
          <w:right w:w="15" w:type="dxa"/>
        </w:tblCellMar>
      </w:tblPr>
      <w:tblGrid>
        <w:gridCol w:w="1075"/>
        <w:gridCol w:w="1902"/>
        <w:gridCol w:w="5954"/>
      </w:tblGrid>
      <w:tr>
        <w:tblPrEx>
          <w:tblCellMar>
            <w:top w:w="15" w:type="dxa"/>
            <w:left w:w="15" w:type="dxa"/>
            <w:bottom w:w="15" w:type="dxa"/>
            <w:right w:w="15" w:type="dxa"/>
          </w:tblCellMar>
        </w:tblPrEx>
        <w:trPr>
          <w:trHeight w:val="661" w:hRule="atLeast"/>
        </w:trPr>
        <w:tc>
          <w:tcPr>
            <w:tcW w:w="10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color w:val="000000"/>
                <w:kern w:val="2"/>
                <w:sz w:val="20"/>
                <w:szCs w:val="20"/>
                <w:lang w:val="en-US" w:eastAsia="zh-CN" w:bidi="ar-SA"/>
              </w:rPr>
            </w:pPr>
            <w:r>
              <w:rPr>
                <w:rFonts w:hint="eastAsia" w:cs="宋体" w:asciiTheme="minorEastAsia" w:hAnsiTheme="minorEastAsia" w:eastAsiaTheme="minorEastAsia"/>
                <w:b/>
                <w:color w:val="000000"/>
                <w:kern w:val="0"/>
                <w:sz w:val="20"/>
                <w:szCs w:val="20"/>
              </w:rPr>
              <w:t>序号</w:t>
            </w:r>
          </w:p>
        </w:tc>
        <w:tc>
          <w:tcPr>
            <w:tcW w:w="785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color w:val="000000"/>
                <w:kern w:val="0"/>
                <w:sz w:val="20"/>
                <w:szCs w:val="20"/>
                <w:lang w:val="en-US" w:eastAsia="zh-CN" w:bidi="ar-SA"/>
              </w:rPr>
            </w:pPr>
            <w:r>
              <w:rPr>
                <w:rFonts w:hint="eastAsia" w:cs="宋体" w:asciiTheme="minorEastAsia" w:hAnsiTheme="minorEastAsia" w:eastAsiaTheme="minorEastAsia"/>
                <w:b/>
                <w:color w:val="000000"/>
                <w:kern w:val="0"/>
                <w:sz w:val="20"/>
                <w:szCs w:val="20"/>
              </w:rPr>
              <w:t>技术要求</w:t>
            </w:r>
          </w:p>
        </w:tc>
      </w:tr>
      <w:tr>
        <w:tblPrEx>
          <w:tblCellMar>
            <w:top w:w="15" w:type="dxa"/>
            <w:left w:w="15" w:type="dxa"/>
            <w:bottom w:w="15" w:type="dxa"/>
            <w:right w:w="15" w:type="dxa"/>
          </w:tblCellMar>
        </w:tblPrEx>
        <w:trPr>
          <w:trHeight w:val="543" w:hRule="atLeast"/>
        </w:trPr>
        <w:tc>
          <w:tcPr>
            <w:tcW w:w="1075" w:type="dxa"/>
            <w:tcBorders>
              <w:top w:val="single" w:color="auto" w:sz="4" w:space="0"/>
              <w:left w:val="single" w:color="000000" w:sz="4" w:space="0"/>
              <w:bottom w:val="single" w:color="000000" w:sz="4" w:space="0"/>
              <w:right w:val="single" w:color="auto" w:sz="4" w:space="0"/>
            </w:tcBorders>
            <w:shd w:val="clear" w:color="auto" w:fill="auto"/>
            <w:vAlign w:val="center"/>
          </w:tcPr>
          <w:p>
            <w:pPr>
              <w:jc w:val="center"/>
              <w:textAlignment w:val="center"/>
              <w:rPr>
                <w:rFonts w:cs="宋体" w:asciiTheme="minorEastAsia" w:hAnsiTheme="minorEastAsia" w:eastAsiaTheme="minorEastAsia"/>
                <w:color w:val="000000"/>
                <w:kern w:val="0"/>
                <w:sz w:val="20"/>
                <w:szCs w:val="20"/>
                <w:lang w:val="en-US" w:eastAsia="zh-CN" w:bidi="ar-SA"/>
              </w:rPr>
            </w:pPr>
            <w:r>
              <w:rPr>
                <w:rFonts w:hint="eastAsia" w:cs="宋体" w:asciiTheme="minorEastAsia" w:hAnsiTheme="minorEastAsia" w:eastAsiaTheme="minorEastAsia"/>
                <w:color w:val="000000"/>
                <w:kern w:val="0"/>
                <w:sz w:val="20"/>
                <w:szCs w:val="20"/>
              </w:rPr>
              <w:t>1.1</w:t>
            </w:r>
          </w:p>
        </w:tc>
        <w:tc>
          <w:tcPr>
            <w:tcW w:w="1902" w:type="dxa"/>
            <w:tcBorders>
              <w:top w:val="single" w:color="auto" w:sz="4" w:space="0"/>
              <w:left w:val="single" w:color="000000" w:sz="4" w:space="0"/>
              <w:bottom w:val="single" w:color="000000" w:sz="4" w:space="0"/>
              <w:right w:val="single" w:color="auto" w:sz="4" w:space="0"/>
            </w:tcBorders>
            <w:shd w:val="clear" w:color="auto" w:fill="auto"/>
            <w:vAlign w:val="center"/>
          </w:tcPr>
          <w:p>
            <w:pPr>
              <w:jc w:val="center"/>
              <w:textAlignment w:val="center"/>
              <w:rPr>
                <w:rFonts w:cs="宋体" w:asciiTheme="minorEastAsia" w:hAnsiTheme="minorEastAsia" w:eastAsiaTheme="minorEastAsia"/>
                <w:color w:val="000000"/>
                <w:kern w:val="0"/>
                <w:sz w:val="20"/>
                <w:szCs w:val="20"/>
                <w:lang w:val="en-US" w:eastAsia="zh-CN" w:bidi="ar-SA"/>
              </w:rPr>
            </w:pPr>
            <w:r>
              <w:rPr>
                <w:rFonts w:hint="eastAsia" w:cs="宋体" w:asciiTheme="minorEastAsia" w:hAnsiTheme="minorEastAsia" w:eastAsiaTheme="minorEastAsia"/>
                <w:color w:val="000000"/>
                <w:kern w:val="0"/>
                <w:sz w:val="20"/>
                <w:szCs w:val="20"/>
              </w:rPr>
              <w:t>用途</w:t>
            </w:r>
          </w:p>
        </w:tc>
        <w:tc>
          <w:tcPr>
            <w:tcW w:w="5954"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 w:val="20"/>
                <w:szCs w:val="20"/>
                <w:lang w:val="en-US" w:eastAsia="zh-CN" w:bidi="ar-SA"/>
              </w:rPr>
            </w:pPr>
            <w:r>
              <w:rPr>
                <w:rFonts w:hint="eastAsia" w:ascii="宋体" w:hAnsi="宋体"/>
                <w:sz w:val="20"/>
                <w:szCs w:val="20"/>
              </w:rPr>
              <w:t>适用所有类型软式内镜的清洗、消毒及干燥。如胃镜、肠镜、十二指肠镜、支气管镜、喉镜、超声内镜等的清洗消毒及干燥</w:t>
            </w:r>
            <w:r>
              <w:rPr>
                <w:rFonts w:hint="eastAsia" w:asciiTheme="minorEastAsia" w:hAnsiTheme="minorEastAsia" w:eastAsiaTheme="minorEastAsia"/>
                <w:sz w:val="20"/>
                <w:szCs w:val="20"/>
              </w:rPr>
              <w:t>。</w:t>
            </w:r>
          </w:p>
        </w:tc>
      </w:tr>
      <w:tr>
        <w:tblPrEx>
          <w:tblCellMar>
            <w:top w:w="15" w:type="dxa"/>
            <w:left w:w="15" w:type="dxa"/>
            <w:bottom w:w="15" w:type="dxa"/>
            <w:right w:w="15" w:type="dxa"/>
          </w:tblCellMar>
        </w:tblPrEx>
        <w:trPr>
          <w:trHeight w:val="52" w:hRule="atLeast"/>
        </w:trPr>
        <w:tc>
          <w:tcPr>
            <w:tcW w:w="1075"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val="en-US" w:eastAsia="zh-CN"/>
              </w:rPr>
              <w:t>2</w:t>
            </w:r>
          </w:p>
        </w:tc>
        <w:tc>
          <w:tcPr>
            <w:tcW w:w="1902" w:type="dxa"/>
            <w:tcBorders>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rPr>
              <w:t>清洗槽数量及功能</w:t>
            </w:r>
          </w:p>
        </w:tc>
        <w:tc>
          <w:tcPr>
            <w:tcW w:w="5954" w:type="dxa"/>
            <w:tcBorders>
              <w:left w:val="single" w:color="auto" w:sz="4" w:space="0"/>
              <w:bottom w:val="single" w:color="000000" w:sz="4" w:space="0"/>
              <w:right w:val="single" w:color="000000" w:sz="4" w:space="0"/>
            </w:tcBorders>
            <w:shd w:val="clear" w:color="auto" w:fill="auto"/>
            <w:vAlign w:val="center"/>
          </w:tcPr>
          <w:p>
            <w:pPr>
              <w:rPr>
                <w:rFonts w:ascii="宋体" w:hAnsi="宋体" w:eastAsia="宋体" w:cs="Times New Roman"/>
                <w:kern w:val="2"/>
                <w:sz w:val="20"/>
                <w:szCs w:val="20"/>
                <w:lang w:val="en-US" w:eastAsia="zh-CN" w:bidi="ar-SA"/>
              </w:rPr>
            </w:pPr>
            <w:r>
              <w:rPr>
                <w:rFonts w:hint="eastAsia" w:ascii="宋体" w:hAnsi="宋体"/>
                <w:sz w:val="20"/>
                <w:szCs w:val="20"/>
              </w:rPr>
              <w:t>单槽设计，脚踢自动开门和关门，无需手或工件触碰，避免二次污染；全透明防爆钢化玻璃门，全自动镜身内外高压喷淋和灌流清洗、消毒及干燥；</w:t>
            </w:r>
          </w:p>
        </w:tc>
      </w:tr>
      <w:tr>
        <w:tblPrEx>
          <w:tblCellMar>
            <w:top w:w="15" w:type="dxa"/>
            <w:left w:w="15" w:type="dxa"/>
            <w:bottom w:w="15" w:type="dxa"/>
            <w:right w:w="15" w:type="dxa"/>
          </w:tblCellMar>
        </w:tblPrEx>
        <w:trPr>
          <w:trHeight w:val="78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val="en-US" w:eastAsia="zh-CN"/>
              </w:rPr>
              <w:t>3</w:t>
            </w:r>
          </w:p>
        </w:tc>
        <w:tc>
          <w:tcPr>
            <w:tcW w:w="19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rPr>
              <w:t>全程清洗消毒时间</w:t>
            </w:r>
          </w:p>
        </w:tc>
        <w:tc>
          <w:tcPr>
            <w:tcW w:w="5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2"/>
                <w:sz w:val="20"/>
                <w:szCs w:val="20"/>
                <w:lang w:val="en-US" w:eastAsia="zh-CN" w:bidi="ar-SA"/>
              </w:rPr>
            </w:pPr>
            <w:r>
              <w:rPr>
                <w:rFonts w:hint="eastAsia" w:ascii="宋体" w:hAnsi="宋体"/>
                <w:sz w:val="20"/>
                <w:szCs w:val="20"/>
              </w:rPr>
              <w:t>2%的碱性戊二醛在加热到43℃时，全程清洗、消毒所需时间≤10分钟；0.5%-0.6%的邻苯二甲醛全程清洗、消毒所需时间≤10分钟。（能使用这两种消毒液和三种清洗消毒时间必须提供第三方权威机构出具的检测报告）</w:t>
            </w:r>
          </w:p>
        </w:tc>
      </w:tr>
      <w:tr>
        <w:tblPrEx>
          <w:tblCellMar>
            <w:top w:w="15" w:type="dxa"/>
            <w:left w:w="15" w:type="dxa"/>
            <w:bottom w:w="15" w:type="dxa"/>
            <w:right w:w="15" w:type="dxa"/>
          </w:tblCellMar>
        </w:tblPrEx>
        <w:trPr>
          <w:trHeight w:val="675"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val="en-US" w:eastAsia="zh-CN"/>
              </w:rPr>
              <w:t>4</w:t>
            </w:r>
          </w:p>
        </w:tc>
        <w:tc>
          <w:tcPr>
            <w:tcW w:w="19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rPr>
              <w:t>清洗、消毒方式及内通道循环泵</w:t>
            </w:r>
          </w:p>
        </w:tc>
        <w:tc>
          <w:tcPr>
            <w:tcW w:w="595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kern w:val="2"/>
                <w:sz w:val="20"/>
                <w:szCs w:val="20"/>
                <w:lang w:val="en-US" w:eastAsia="zh-CN" w:bidi="ar-SA"/>
              </w:rPr>
            </w:pPr>
            <w:r>
              <w:rPr>
                <w:rFonts w:hint="eastAsia" w:ascii="宋体" w:hAnsi="宋体"/>
                <w:sz w:val="20"/>
                <w:szCs w:val="20"/>
              </w:rPr>
              <w:t>采用涡流和内部灌流方式清洗消毒，全浸泡、全灌流及高压喷淋。</w:t>
            </w:r>
          </w:p>
        </w:tc>
      </w:tr>
      <w:tr>
        <w:tblPrEx>
          <w:tblCellMar>
            <w:top w:w="15" w:type="dxa"/>
            <w:left w:w="15" w:type="dxa"/>
            <w:bottom w:w="15" w:type="dxa"/>
            <w:right w:w="15" w:type="dxa"/>
          </w:tblCellMar>
        </w:tblPrEx>
        <w:trPr>
          <w:trHeight w:val="54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val="en-US" w:eastAsia="zh-CN"/>
              </w:rPr>
              <w:t>5</w:t>
            </w:r>
          </w:p>
        </w:tc>
        <w:tc>
          <w:tcPr>
            <w:tcW w:w="19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rPr>
              <w:t>快插快速连接</w:t>
            </w:r>
          </w:p>
        </w:tc>
        <w:tc>
          <w:tcPr>
            <w:tcW w:w="5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2"/>
                <w:sz w:val="20"/>
                <w:szCs w:val="20"/>
                <w:lang w:val="en-US" w:eastAsia="zh-CN" w:bidi="ar-SA"/>
              </w:rPr>
            </w:pPr>
            <w:r>
              <w:rPr>
                <w:rFonts w:hint="eastAsia" w:ascii="宋体" w:hAnsi="宋体"/>
                <w:sz w:val="20"/>
                <w:szCs w:val="20"/>
              </w:rPr>
              <w:t xml:space="preserve">洗消连接头采用快插式接头，和手工清洗槽完全匹配，若经手工初洗后灌流接头无需拆卸直接可接入洗消机内和快插接头连接，方便快捷，科学高效、并且减轻了工作人员的劳动强度。 </w:t>
            </w:r>
          </w:p>
        </w:tc>
      </w:tr>
      <w:tr>
        <w:tblPrEx>
          <w:tblCellMar>
            <w:top w:w="15" w:type="dxa"/>
            <w:left w:w="15" w:type="dxa"/>
            <w:bottom w:w="15" w:type="dxa"/>
            <w:right w:w="15" w:type="dxa"/>
          </w:tblCellMar>
        </w:tblPrEx>
        <w:trPr>
          <w:trHeight w:val="54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val="en-US" w:eastAsia="zh-CN"/>
              </w:rPr>
              <w:t>6</w:t>
            </w:r>
          </w:p>
        </w:tc>
        <w:tc>
          <w:tcPr>
            <w:tcW w:w="19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rPr>
              <w:t>消毒剂、清洗液、酒精不足和故障自动报警</w:t>
            </w:r>
          </w:p>
        </w:tc>
        <w:tc>
          <w:tcPr>
            <w:tcW w:w="5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2"/>
                <w:sz w:val="20"/>
                <w:szCs w:val="20"/>
                <w:lang w:val="en-US" w:eastAsia="zh-CN" w:bidi="ar-SA"/>
              </w:rPr>
            </w:pPr>
            <w:r>
              <w:rPr>
                <w:rFonts w:hint="eastAsia" w:ascii="宋体" w:hAnsi="宋体"/>
                <w:sz w:val="20"/>
                <w:szCs w:val="20"/>
              </w:rPr>
              <w:t xml:space="preserve">在使用过程中，消毒剂、酶、酒精、清洗液不足和全程故障报警，机器无法启动并显示故障内容，提示解决方法。 </w:t>
            </w:r>
          </w:p>
        </w:tc>
      </w:tr>
      <w:tr>
        <w:tblPrEx>
          <w:tblCellMar>
            <w:top w:w="15" w:type="dxa"/>
            <w:left w:w="15" w:type="dxa"/>
            <w:bottom w:w="15" w:type="dxa"/>
            <w:right w:w="15" w:type="dxa"/>
          </w:tblCellMar>
        </w:tblPrEx>
        <w:trPr>
          <w:trHeight w:val="268"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val="en-US" w:eastAsia="zh-CN"/>
              </w:rPr>
              <w:t>7</w:t>
            </w:r>
          </w:p>
        </w:tc>
        <w:tc>
          <w:tcPr>
            <w:tcW w:w="19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rPr>
              <w:t>内镜泄漏测试</w:t>
            </w:r>
          </w:p>
        </w:tc>
        <w:tc>
          <w:tcPr>
            <w:tcW w:w="5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2"/>
                <w:sz w:val="20"/>
                <w:szCs w:val="20"/>
                <w:lang w:val="en-US" w:eastAsia="zh-CN" w:bidi="ar-SA"/>
              </w:rPr>
            </w:pPr>
            <w:r>
              <w:rPr>
                <w:rFonts w:hint="eastAsia" w:ascii="宋体" w:hAnsi="宋体"/>
                <w:sz w:val="20"/>
                <w:szCs w:val="20"/>
              </w:rPr>
              <w:t>全压力传感器，具备对内镜全程持续测漏监控功能，液晶触摸屏实时显示测漏压力（0.015-0.035Mpa），对微小的渗漏也能检测出，完全避免了对镜子的更大损坏</w:t>
            </w:r>
          </w:p>
        </w:tc>
      </w:tr>
      <w:tr>
        <w:tblPrEx>
          <w:tblCellMar>
            <w:top w:w="15" w:type="dxa"/>
            <w:left w:w="15" w:type="dxa"/>
            <w:bottom w:w="15" w:type="dxa"/>
            <w:right w:w="15" w:type="dxa"/>
          </w:tblCellMar>
        </w:tblPrEx>
        <w:trPr>
          <w:trHeight w:val="154"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lang w:val="en-US" w:eastAsia="zh-CN"/>
              </w:rPr>
              <w:t>1</w:t>
            </w:r>
            <w:r>
              <w:rPr>
                <w:rFonts w:hint="eastAsia" w:ascii="宋体" w:hAnsi="宋体"/>
                <w:sz w:val="20"/>
                <w:szCs w:val="20"/>
              </w:rPr>
              <w:t>.8</w:t>
            </w:r>
          </w:p>
        </w:tc>
        <w:tc>
          <w:tcPr>
            <w:tcW w:w="19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rPr>
              <w:t>自身消毒功能</w:t>
            </w:r>
          </w:p>
        </w:tc>
        <w:tc>
          <w:tcPr>
            <w:tcW w:w="5954" w:type="dxa"/>
            <w:tcBorders>
              <w:top w:val="single" w:color="000000" w:sz="4" w:space="0"/>
              <w:left w:val="single" w:color="000000" w:sz="4" w:space="0"/>
              <w:bottom w:val="single" w:color="000000" w:sz="4" w:space="0"/>
              <w:right w:val="single" w:color="000000" w:sz="4" w:space="0"/>
            </w:tcBorders>
            <w:vAlign w:val="center"/>
          </w:tcPr>
          <w:p>
            <w:pPr>
              <w:ind w:left="100" w:leftChars="0" w:hanging="100" w:hangingChars="50"/>
              <w:rPr>
                <w:rFonts w:ascii="宋体" w:hAnsi="宋体" w:eastAsia="宋体" w:cs="Times New Roman"/>
                <w:kern w:val="2"/>
                <w:sz w:val="20"/>
                <w:szCs w:val="20"/>
                <w:lang w:val="en-US" w:eastAsia="zh-CN" w:bidi="ar-SA"/>
              </w:rPr>
            </w:pPr>
            <w:r>
              <w:rPr>
                <w:rFonts w:hint="eastAsia" w:ascii="宋体" w:hAnsi="宋体"/>
                <w:sz w:val="20"/>
                <w:szCs w:val="20"/>
              </w:rPr>
              <w:t>能对设备的全管道、槽体、玻璃门、终末清洗内置的过滤芯等水溶液所经过的所有管路进行</w:t>
            </w:r>
            <w:r>
              <w:rPr>
                <w:rFonts w:hint="eastAsia" w:ascii="宋体" w:hAnsi="宋体"/>
                <w:b/>
                <w:sz w:val="20"/>
                <w:szCs w:val="20"/>
              </w:rPr>
              <w:t>反向</w:t>
            </w:r>
            <w:r>
              <w:rPr>
                <w:rFonts w:hint="eastAsia" w:ascii="宋体" w:hAnsi="宋体"/>
                <w:sz w:val="20"/>
                <w:szCs w:val="20"/>
              </w:rPr>
              <w:t>冲洗消毒：同时用高压喷淋的方式对机器的槽体、整个上盖进行全方位，无死角的彻底清洗消毒。</w:t>
            </w:r>
          </w:p>
        </w:tc>
      </w:tr>
      <w:tr>
        <w:tblPrEx>
          <w:tblCellMar>
            <w:top w:w="15" w:type="dxa"/>
            <w:left w:w="15" w:type="dxa"/>
            <w:bottom w:w="15" w:type="dxa"/>
            <w:right w:w="15" w:type="dxa"/>
          </w:tblCellMar>
        </w:tblPrEx>
        <w:trPr>
          <w:trHeight w:val="43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lang w:val="en-US" w:eastAsia="zh-CN"/>
              </w:rPr>
              <w:t>1</w:t>
            </w:r>
            <w:r>
              <w:rPr>
                <w:rFonts w:hint="eastAsia" w:ascii="宋体" w:hAnsi="宋体"/>
                <w:sz w:val="20"/>
                <w:szCs w:val="20"/>
              </w:rPr>
              <w:t>.9</w:t>
            </w:r>
          </w:p>
        </w:tc>
        <w:tc>
          <w:tcPr>
            <w:tcW w:w="19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rPr>
              <w:t>水处理</w:t>
            </w:r>
          </w:p>
        </w:tc>
        <w:tc>
          <w:tcPr>
            <w:tcW w:w="5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2"/>
                <w:sz w:val="20"/>
                <w:szCs w:val="20"/>
                <w:lang w:val="en-US" w:eastAsia="zh-CN" w:bidi="ar-SA"/>
              </w:rPr>
            </w:pPr>
            <w:r>
              <w:rPr>
                <w:rFonts w:hint="eastAsia" w:ascii="宋体" w:hAnsi="宋体"/>
                <w:sz w:val="20"/>
                <w:szCs w:val="20"/>
              </w:rPr>
              <w:t>通过外置过滤芯 和内置过滤芯对自来水进行高精度的过滤。</w:t>
            </w:r>
          </w:p>
        </w:tc>
      </w:tr>
      <w:tr>
        <w:tblPrEx>
          <w:tblCellMar>
            <w:top w:w="15" w:type="dxa"/>
            <w:left w:w="15" w:type="dxa"/>
            <w:bottom w:w="15" w:type="dxa"/>
            <w:right w:w="15" w:type="dxa"/>
          </w:tblCellMar>
        </w:tblPrEx>
        <w:trPr>
          <w:trHeight w:val="525"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lang w:val="en-US" w:eastAsia="zh-CN"/>
              </w:rPr>
              <w:t>1</w:t>
            </w:r>
            <w:r>
              <w:rPr>
                <w:rFonts w:hint="eastAsia" w:ascii="宋体" w:hAnsi="宋体"/>
                <w:sz w:val="20"/>
                <w:szCs w:val="20"/>
              </w:rPr>
              <w:t>.10</w:t>
            </w:r>
          </w:p>
        </w:tc>
        <w:tc>
          <w:tcPr>
            <w:tcW w:w="1902"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rPr>
              <w:t>过程数据打印</w:t>
            </w:r>
          </w:p>
        </w:tc>
        <w:tc>
          <w:tcPr>
            <w:tcW w:w="5954" w:type="dxa"/>
            <w:tcBorders>
              <w:top w:val="single" w:color="000000" w:sz="4" w:space="0"/>
              <w:left w:val="single" w:color="auto" w:sz="4" w:space="0"/>
              <w:bottom w:val="single" w:color="000000" w:sz="4" w:space="0"/>
              <w:right w:val="single" w:color="000000" w:sz="4" w:space="0"/>
            </w:tcBorders>
            <w:vAlign w:val="center"/>
          </w:tcPr>
          <w:p>
            <w:pPr>
              <w:rPr>
                <w:rFonts w:ascii="宋体" w:hAnsi="宋体" w:eastAsia="宋体" w:cs="Times New Roman"/>
                <w:kern w:val="2"/>
                <w:sz w:val="20"/>
                <w:szCs w:val="20"/>
                <w:lang w:val="en-US" w:eastAsia="zh-CN" w:bidi="ar-SA"/>
              </w:rPr>
            </w:pPr>
            <w:r>
              <w:rPr>
                <w:rFonts w:hint="eastAsia" w:ascii="宋体" w:hAnsi="宋体"/>
                <w:sz w:val="20"/>
                <w:szCs w:val="20"/>
              </w:rPr>
              <w:t>普通纸打印记录病人姓名、内镜编号、操作者姓名和内镜洗、消过程中所有的数据，便于存档追溯，可保存10年以上。</w:t>
            </w:r>
          </w:p>
        </w:tc>
      </w:tr>
      <w:tr>
        <w:tblPrEx>
          <w:tblCellMar>
            <w:top w:w="15" w:type="dxa"/>
            <w:left w:w="15" w:type="dxa"/>
            <w:bottom w:w="15" w:type="dxa"/>
            <w:right w:w="15" w:type="dxa"/>
          </w:tblCellMar>
        </w:tblPrEx>
        <w:trPr>
          <w:trHeight w:val="588" w:hRule="atLeast"/>
        </w:trPr>
        <w:tc>
          <w:tcPr>
            <w:tcW w:w="107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lang w:val="en-US" w:eastAsia="zh-CN"/>
              </w:rPr>
              <w:t>1</w:t>
            </w:r>
            <w:r>
              <w:rPr>
                <w:rFonts w:hint="eastAsia" w:ascii="宋体" w:hAnsi="宋体"/>
                <w:sz w:val="20"/>
                <w:szCs w:val="20"/>
              </w:rPr>
              <w:t>.11</w:t>
            </w:r>
          </w:p>
        </w:tc>
        <w:tc>
          <w:tcPr>
            <w:tcW w:w="1902" w:type="dxa"/>
            <w:tcBorders>
              <w:top w:val="single" w:color="auto" w:sz="4" w:space="0"/>
              <w:left w:val="single" w:color="000000" w:sz="4" w:space="0"/>
              <w:bottom w:val="single" w:color="000000" w:sz="4" w:space="0"/>
              <w:right w:val="single" w:color="auto"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rPr>
              <w:t>控制方式及工作模式</w:t>
            </w:r>
          </w:p>
        </w:tc>
        <w:tc>
          <w:tcPr>
            <w:tcW w:w="5954" w:type="dxa"/>
            <w:tcBorders>
              <w:top w:val="single" w:color="auto" w:sz="4" w:space="0"/>
              <w:left w:val="single" w:color="auto" w:sz="4" w:space="0"/>
              <w:bottom w:val="single" w:color="000000" w:sz="4" w:space="0"/>
              <w:right w:val="single" w:color="000000" w:sz="4" w:space="0"/>
            </w:tcBorders>
            <w:vAlign w:val="center"/>
          </w:tcPr>
          <w:p>
            <w:pPr>
              <w:rPr>
                <w:rFonts w:ascii="宋体" w:hAnsi="宋体" w:eastAsia="宋体" w:cs="Times New Roman"/>
                <w:kern w:val="2"/>
                <w:sz w:val="20"/>
                <w:szCs w:val="20"/>
                <w:lang w:val="en-US" w:eastAsia="zh-CN" w:bidi="ar-SA"/>
              </w:rPr>
            </w:pPr>
            <w:r>
              <w:rPr>
                <w:rFonts w:hint="eastAsia" w:ascii="宋体" w:hAnsi="宋体"/>
                <w:sz w:val="20"/>
                <w:szCs w:val="20"/>
              </w:rPr>
              <w:t>PLC可编程序智能控制，</w:t>
            </w:r>
            <w:r>
              <w:rPr>
                <w:rFonts w:hint="eastAsia" w:ascii="宋体" w:hAnsi="宋体"/>
                <w:sz w:val="20"/>
                <w:szCs w:val="20"/>
                <w:lang w:val="en-US" w:eastAsia="zh-CN"/>
              </w:rPr>
              <w:t>不小于</w:t>
            </w:r>
            <w:r>
              <w:rPr>
                <w:rFonts w:hint="eastAsia" w:ascii="宋体" w:hAnsi="宋体"/>
                <w:sz w:val="20"/>
                <w:szCs w:val="20"/>
              </w:rPr>
              <w:t>7寸彩色大触摸屏，</w:t>
            </w:r>
            <w:r>
              <w:rPr>
                <w:rFonts w:hint="eastAsia" w:ascii="宋体" w:hAnsi="宋体"/>
                <w:sz w:val="20"/>
                <w:szCs w:val="20"/>
                <w:lang w:val="en-US" w:eastAsia="zh-CN"/>
              </w:rPr>
              <w:t>至少</w:t>
            </w:r>
            <w:r>
              <w:rPr>
                <w:rFonts w:hint="eastAsia" w:ascii="宋体" w:hAnsi="宋体"/>
                <w:sz w:val="20"/>
                <w:szCs w:val="20"/>
              </w:rPr>
              <w:t>预置6组程序可自行任意选择：1、标准清洗消毒模式。2、特殊感染清洗消毒模式。3、干燥和测漏模式。4、终末清洗消毒模式。5早消毒模式。6、自身消毒模式。支持多种通讯接口。</w:t>
            </w:r>
          </w:p>
        </w:tc>
      </w:tr>
      <w:tr>
        <w:tblPrEx>
          <w:tblCellMar>
            <w:top w:w="15" w:type="dxa"/>
            <w:left w:w="15" w:type="dxa"/>
            <w:bottom w:w="15" w:type="dxa"/>
            <w:right w:w="15" w:type="dxa"/>
          </w:tblCellMar>
        </w:tblPrEx>
        <w:trPr>
          <w:trHeight w:val="28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lang w:val="en-US" w:eastAsia="zh-CN"/>
              </w:rPr>
              <w:t>1</w:t>
            </w:r>
            <w:r>
              <w:rPr>
                <w:rFonts w:hint="eastAsia" w:ascii="宋体" w:hAnsi="宋体"/>
                <w:sz w:val="20"/>
                <w:szCs w:val="20"/>
              </w:rPr>
              <w:t>.12</w:t>
            </w:r>
          </w:p>
        </w:tc>
        <w:tc>
          <w:tcPr>
            <w:tcW w:w="1902"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rPr>
              <w:t>开关门</w:t>
            </w:r>
          </w:p>
        </w:tc>
        <w:tc>
          <w:tcPr>
            <w:tcW w:w="5954" w:type="dxa"/>
            <w:tcBorders>
              <w:top w:val="single" w:color="000000" w:sz="4" w:space="0"/>
              <w:left w:val="single" w:color="auto" w:sz="4" w:space="0"/>
              <w:bottom w:val="single" w:color="000000" w:sz="4" w:space="0"/>
              <w:right w:val="single" w:color="000000" w:sz="4" w:space="0"/>
            </w:tcBorders>
            <w:vAlign w:val="center"/>
          </w:tcPr>
          <w:p>
            <w:pPr>
              <w:rPr>
                <w:rFonts w:ascii="宋体" w:hAnsi="宋体" w:eastAsia="宋体" w:cs="Times New Roman"/>
                <w:kern w:val="2"/>
                <w:sz w:val="20"/>
                <w:szCs w:val="20"/>
                <w:lang w:val="en-US" w:eastAsia="zh-CN" w:bidi="ar-SA"/>
              </w:rPr>
            </w:pPr>
            <w:r>
              <w:rPr>
                <w:rFonts w:hint="eastAsia" w:ascii="宋体" w:hAnsi="宋体"/>
                <w:sz w:val="20"/>
                <w:szCs w:val="20"/>
              </w:rPr>
              <w:t>脚踢自动开门、关门和触摸屏手动开门、关门两种模式，门为全透明防爆钢化玻璃。</w:t>
            </w:r>
          </w:p>
        </w:tc>
      </w:tr>
      <w:tr>
        <w:tblPrEx>
          <w:tblCellMar>
            <w:top w:w="15" w:type="dxa"/>
            <w:left w:w="15" w:type="dxa"/>
            <w:bottom w:w="15" w:type="dxa"/>
            <w:right w:w="15" w:type="dxa"/>
          </w:tblCellMar>
        </w:tblPrEx>
        <w:trPr>
          <w:trHeight w:val="975"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lang w:val="en-US" w:eastAsia="zh-CN"/>
              </w:rPr>
              <w:t>1</w:t>
            </w:r>
            <w:r>
              <w:rPr>
                <w:rFonts w:hint="eastAsia" w:ascii="宋体" w:hAnsi="宋体"/>
                <w:sz w:val="20"/>
                <w:szCs w:val="20"/>
              </w:rPr>
              <w:t>.13</w:t>
            </w:r>
          </w:p>
        </w:tc>
        <w:tc>
          <w:tcPr>
            <w:tcW w:w="19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rPr>
              <w:t>镜体保护</w:t>
            </w:r>
          </w:p>
        </w:tc>
        <w:tc>
          <w:tcPr>
            <w:tcW w:w="5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2"/>
                <w:sz w:val="20"/>
                <w:szCs w:val="20"/>
                <w:lang w:val="en-US" w:eastAsia="zh-CN" w:bidi="ar-SA"/>
              </w:rPr>
            </w:pPr>
            <w:r>
              <w:rPr>
                <w:rFonts w:hint="eastAsia" w:ascii="宋体" w:hAnsi="宋体"/>
                <w:sz w:val="20"/>
                <w:szCs w:val="20"/>
              </w:rPr>
              <w:t>摆放镜子的槽子大，摆放更加简单快捷，另外内镜弯度更小，可有效保护内镜的光纤，延长内镜的使用寿命。</w:t>
            </w:r>
          </w:p>
        </w:tc>
      </w:tr>
      <w:tr>
        <w:tblPrEx>
          <w:tblCellMar>
            <w:top w:w="15" w:type="dxa"/>
            <w:left w:w="15" w:type="dxa"/>
            <w:bottom w:w="15" w:type="dxa"/>
            <w:right w:w="15" w:type="dxa"/>
          </w:tblCellMar>
        </w:tblPrEx>
        <w:trPr>
          <w:trHeight w:val="42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lang w:val="en-US" w:eastAsia="zh-CN"/>
              </w:rPr>
              <w:t>1</w:t>
            </w:r>
            <w:r>
              <w:rPr>
                <w:rFonts w:hint="eastAsia" w:ascii="宋体" w:hAnsi="宋体"/>
                <w:sz w:val="20"/>
                <w:szCs w:val="20"/>
              </w:rPr>
              <w:t>.14</w:t>
            </w:r>
          </w:p>
        </w:tc>
        <w:tc>
          <w:tcPr>
            <w:tcW w:w="19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rPr>
              <w:t>消毒液浓度检测</w:t>
            </w:r>
          </w:p>
        </w:tc>
        <w:tc>
          <w:tcPr>
            <w:tcW w:w="5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2"/>
                <w:sz w:val="20"/>
                <w:szCs w:val="20"/>
                <w:lang w:val="en-US" w:eastAsia="zh-CN" w:bidi="ar-SA"/>
              </w:rPr>
            </w:pPr>
            <w:r>
              <w:rPr>
                <w:rFonts w:hint="eastAsia" w:ascii="宋体" w:hAnsi="宋体"/>
                <w:sz w:val="20"/>
                <w:szCs w:val="20"/>
              </w:rPr>
              <w:t>可以完全准确检测消毒液的实时浓度，也更加有效的保护操作人员的安全。</w:t>
            </w:r>
          </w:p>
        </w:tc>
      </w:tr>
      <w:tr>
        <w:tblPrEx>
          <w:tblCellMar>
            <w:top w:w="15" w:type="dxa"/>
            <w:left w:w="15" w:type="dxa"/>
            <w:bottom w:w="15" w:type="dxa"/>
            <w:right w:w="15" w:type="dxa"/>
          </w:tblCellMar>
        </w:tblPrEx>
        <w:trPr>
          <w:trHeight w:val="974"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lang w:val="en-US" w:eastAsia="zh-CN"/>
              </w:rPr>
              <w:t>1</w:t>
            </w:r>
            <w:r>
              <w:rPr>
                <w:rFonts w:hint="eastAsia" w:ascii="宋体" w:hAnsi="宋体"/>
                <w:sz w:val="20"/>
                <w:szCs w:val="20"/>
              </w:rPr>
              <w:t>.15</w:t>
            </w:r>
          </w:p>
        </w:tc>
        <w:tc>
          <w:tcPr>
            <w:tcW w:w="1902"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rPr>
              <w:t>消毒剂、酒精、酶添加和排放</w:t>
            </w:r>
          </w:p>
        </w:tc>
        <w:tc>
          <w:tcPr>
            <w:tcW w:w="5954" w:type="dxa"/>
            <w:tcBorders>
              <w:top w:val="single" w:color="000000" w:sz="4" w:space="0"/>
              <w:left w:val="single" w:color="auto" w:sz="4" w:space="0"/>
              <w:bottom w:val="single" w:color="000000" w:sz="4" w:space="0"/>
              <w:right w:val="single" w:color="000000" w:sz="4" w:space="0"/>
            </w:tcBorders>
            <w:vAlign w:val="center"/>
          </w:tcPr>
          <w:p>
            <w:pPr>
              <w:rPr>
                <w:rFonts w:ascii="宋体" w:hAnsi="宋体" w:eastAsia="宋体" w:cs="Times New Roman"/>
                <w:kern w:val="2"/>
                <w:sz w:val="20"/>
                <w:szCs w:val="20"/>
                <w:lang w:val="en-US" w:eastAsia="zh-CN" w:bidi="ar-SA"/>
              </w:rPr>
            </w:pPr>
            <w:r>
              <w:rPr>
                <w:rFonts w:hint="eastAsia" w:ascii="宋体" w:hAnsi="宋体"/>
                <w:sz w:val="20"/>
                <w:szCs w:val="20"/>
              </w:rPr>
              <w:t>自动精确计量加入消毒液、酶和酒精和排放</w:t>
            </w:r>
          </w:p>
        </w:tc>
      </w:tr>
      <w:tr>
        <w:tblPrEx>
          <w:tblCellMar>
            <w:top w:w="15" w:type="dxa"/>
            <w:left w:w="15" w:type="dxa"/>
            <w:bottom w:w="15" w:type="dxa"/>
            <w:right w:w="15" w:type="dxa"/>
          </w:tblCellMar>
        </w:tblPrEx>
        <w:trPr>
          <w:trHeight w:val="39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lang w:val="en-US" w:eastAsia="zh-CN"/>
              </w:rPr>
              <w:t>1</w:t>
            </w:r>
            <w:r>
              <w:rPr>
                <w:rFonts w:hint="eastAsia" w:ascii="宋体" w:hAnsi="宋体"/>
                <w:sz w:val="20"/>
                <w:szCs w:val="20"/>
              </w:rPr>
              <w:t>.16</w:t>
            </w:r>
          </w:p>
        </w:tc>
        <w:tc>
          <w:tcPr>
            <w:tcW w:w="1902"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rPr>
              <w:t>消毒液添加和排放</w:t>
            </w:r>
          </w:p>
        </w:tc>
        <w:tc>
          <w:tcPr>
            <w:tcW w:w="5954" w:type="dxa"/>
            <w:tcBorders>
              <w:top w:val="single" w:color="000000" w:sz="4" w:space="0"/>
              <w:left w:val="single" w:color="auto" w:sz="4" w:space="0"/>
              <w:bottom w:val="single" w:color="000000" w:sz="4" w:space="0"/>
              <w:right w:val="single" w:color="000000" w:sz="4" w:space="0"/>
            </w:tcBorders>
            <w:vAlign w:val="center"/>
          </w:tcPr>
          <w:p>
            <w:pPr>
              <w:rPr>
                <w:rFonts w:ascii="宋体" w:hAnsi="宋体" w:eastAsia="宋体" w:cs="Times New Roman"/>
                <w:kern w:val="2"/>
                <w:sz w:val="20"/>
                <w:szCs w:val="20"/>
                <w:lang w:val="en-US" w:eastAsia="zh-CN" w:bidi="ar-SA"/>
              </w:rPr>
            </w:pPr>
            <w:r>
              <w:rPr>
                <w:rFonts w:hint="eastAsia" w:ascii="宋体" w:hAnsi="宋体"/>
                <w:sz w:val="20"/>
                <w:szCs w:val="20"/>
              </w:rPr>
              <w:t>设备自动添加和排放。</w:t>
            </w:r>
          </w:p>
        </w:tc>
      </w:tr>
      <w:tr>
        <w:tblPrEx>
          <w:tblCellMar>
            <w:top w:w="15" w:type="dxa"/>
            <w:left w:w="15" w:type="dxa"/>
            <w:bottom w:w="15" w:type="dxa"/>
            <w:right w:w="15" w:type="dxa"/>
          </w:tblCellMar>
        </w:tblPrEx>
        <w:trPr>
          <w:trHeight w:val="9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p>
        </w:tc>
        <w:tc>
          <w:tcPr>
            <w:tcW w:w="19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rPr>
              <w:t>空气干燥和酒精干燥</w:t>
            </w:r>
          </w:p>
        </w:tc>
        <w:tc>
          <w:tcPr>
            <w:tcW w:w="5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2"/>
                <w:sz w:val="20"/>
                <w:szCs w:val="20"/>
                <w:lang w:val="en-US" w:eastAsia="zh-CN" w:bidi="ar-SA"/>
              </w:rPr>
            </w:pPr>
            <w:r>
              <w:rPr>
                <w:rFonts w:hint="eastAsia" w:ascii="宋体" w:hAnsi="宋体"/>
                <w:sz w:val="20"/>
                <w:szCs w:val="20"/>
              </w:rPr>
              <w:t>设有独立的空气干燥和酒精干燥功能系统。</w:t>
            </w:r>
          </w:p>
        </w:tc>
      </w:tr>
      <w:tr>
        <w:tblPrEx>
          <w:tblCellMar>
            <w:top w:w="15" w:type="dxa"/>
            <w:left w:w="15" w:type="dxa"/>
            <w:bottom w:w="15" w:type="dxa"/>
            <w:right w:w="15" w:type="dxa"/>
          </w:tblCellMar>
        </w:tblPrEx>
        <w:trPr>
          <w:trHeight w:val="93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lang w:val="en-US" w:eastAsia="zh-CN"/>
              </w:rPr>
              <w:t>1</w:t>
            </w:r>
            <w:r>
              <w:rPr>
                <w:rFonts w:hint="eastAsia" w:ascii="宋体" w:hAnsi="宋体"/>
                <w:sz w:val="20"/>
                <w:szCs w:val="20"/>
              </w:rPr>
              <w:t>.17</w:t>
            </w:r>
          </w:p>
        </w:tc>
        <w:tc>
          <w:tcPr>
            <w:tcW w:w="19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rPr>
              <w:t>消毒液加热功能</w:t>
            </w:r>
          </w:p>
        </w:tc>
        <w:tc>
          <w:tcPr>
            <w:tcW w:w="5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2"/>
                <w:sz w:val="20"/>
                <w:szCs w:val="20"/>
                <w:lang w:val="en-US" w:eastAsia="zh-CN" w:bidi="ar-SA"/>
              </w:rPr>
            </w:pPr>
            <w:r>
              <w:rPr>
                <w:rFonts w:hint="eastAsia" w:ascii="宋体" w:hAnsi="宋体"/>
                <w:sz w:val="20"/>
                <w:szCs w:val="20"/>
              </w:rPr>
              <w:t>独立的消毒液加热系统，对消毒液自动加热并在屏幕显示加热温度</w:t>
            </w:r>
          </w:p>
        </w:tc>
      </w:tr>
      <w:tr>
        <w:tblPrEx>
          <w:tblCellMar>
            <w:top w:w="15" w:type="dxa"/>
            <w:left w:w="15" w:type="dxa"/>
            <w:bottom w:w="15" w:type="dxa"/>
            <w:right w:w="15" w:type="dxa"/>
          </w:tblCellMar>
        </w:tblPrEx>
        <w:trPr>
          <w:trHeight w:val="786" w:hRule="atLeast"/>
        </w:trPr>
        <w:tc>
          <w:tcPr>
            <w:tcW w:w="1075"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lang w:val="en-US" w:eastAsia="zh-CN"/>
              </w:rPr>
              <w:t>1</w:t>
            </w:r>
            <w:r>
              <w:rPr>
                <w:rFonts w:hint="eastAsia" w:ascii="宋体" w:hAnsi="宋体"/>
                <w:sz w:val="20"/>
                <w:szCs w:val="20"/>
              </w:rPr>
              <w:t>.18</w:t>
            </w:r>
          </w:p>
        </w:tc>
        <w:tc>
          <w:tcPr>
            <w:tcW w:w="190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rPr>
              <w:t>水循环消耗</w:t>
            </w:r>
          </w:p>
        </w:tc>
        <w:tc>
          <w:tcPr>
            <w:tcW w:w="5954" w:type="dxa"/>
            <w:tcBorders>
              <w:top w:val="single" w:color="000000" w:sz="4" w:space="0"/>
              <w:left w:val="single" w:color="000000" w:sz="4" w:space="0"/>
              <w:bottom w:val="single" w:color="auto" w:sz="4" w:space="0"/>
              <w:right w:val="single" w:color="000000" w:sz="4" w:space="0"/>
            </w:tcBorders>
            <w:vAlign w:val="center"/>
          </w:tcPr>
          <w:p>
            <w:pPr>
              <w:rPr>
                <w:rFonts w:hint="default" w:ascii="宋体" w:hAnsi="宋体" w:eastAsia="宋体" w:cs="Times New Roman"/>
                <w:kern w:val="2"/>
                <w:sz w:val="20"/>
                <w:szCs w:val="20"/>
                <w:lang w:val="en-US" w:eastAsia="zh-CN" w:bidi="ar-SA"/>
              </w:rPr>
            </w:pPr>
            <w:r>
              <w:rPr>
                <w:rFonts w:hint="eastAsia" w:ascii="宋体" w:hAnsi="宋体"/>
                <w:sz w:val="20"/>
                <w:szCs w:val="20"/>
              </w:rPr>
              <w:t>25</w:t>
            </w:r>
            <w:r>
              <w:rPr>
                <w:rFonts w:hint="eastAsia" w:ascii="宋体" w:hAnsi="宋体"/>
                <w:sz w:val="20"/>
                <w:szCs w:val="20"/>
                <w:lang w:val="en-US" w:eastAsia="zh-CN"/>
              </w:rPr>
              <w:t>±0.1</w:t>
            </w:r>
            <w:r>
              <w:rPr>
                <w:rFonts w:hint="eastAsia" w:ascii="宋体" w:hAnsi="宋体"/>
                <w:sz w:val="20"/>
                <w:szCs w:val="20"/>
              </w:rPr>
              <w:t>L</w:t>
            </w:r>
          </w:p>
        </w:tc>
      </w:tr>
      <w:tr>
        <w:tblPrEx>
          <w:tblCellMar>
            <w:top w:w="15" w:type="dxa"/>
            <w:left w:w="15" w:type="dxa"/>
            <w:bottom w:w="15" w:type="dxa"/>
            <w:right w:w="15" w:type="dxa"/>
          </w:tblCellMar>
        </w:tblPrEx>
        <w:trPr>
          <w:trHeight w:val="307" w:hRule="atLeast"/>
        </w:trPr>
        <w:tc>
          <w:tcPr>
            <w:tcW w:w="107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lang w:val="en-US" w:eastAsia="zh-CN"/>
              </w:rPr>
              <w:t>1</w:t>
            </w:r>
            <w:r>
              <w:rPr>
                <w:rFonts w:hint="eastAsia" w:ascii="宋体" w:hAnsi="宋体"/>
                <w:sz w:val="20"/>
                <w:szCs w:val="20"/>
              </w:rPr>
              <w:t>.19</w:t>
            </w:r>
          </w:p>
        </w:tc>
        <w:tc>
          <w:tcPr>
            <w:tcW w:w="1902"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rPr>
              <w:t>消毒效果</w:t>
            </w:r>
          </w:p>
        </w:tc>
        <w:tc>
          <w:tcPr>
            <w:tcW w:w="5954" w:type="dxa"/>
            <w:tcBorders>
              <w:top w:val="single" w:color="auto" w:sz="4" w:space="0"/>
              <w:left w:val="single" w:color="000000" w:sz="4" w:space="0"/>
              <w:bottom w:val="single" w:color="000000" w:sz="4" w:space="0"/>
              <w:right w:val="single" w:color="000000" w:sz="4" w:space="0"/>
            </w:tcBorders>
            <w:vAlign w:val="center"/>
          </w:tcPr>
          <w:p>
            <w:pPr>
              <w:rPr>
                <w:rFonts w:ascii="宋体" w:hAnsi="宋体" w:eastAsia="宋体" w:cs="Times New Roman"/>
                <w:kern w:val="2"/>
                <w:sz w:val="20"/>
                <w:szCs w:val="20"/>
                <w:lang w:val="en-US" w:eastAsia="zh-CN" w:bidi="ar-SA"/>
              </w:rPr>
            </w:pPr>
            <w:r>
              <w:rPr>
                <w:rFonts w:hint="eastAsia" w:ascii="宋体" w:hAnsi="宋体"/>
                <w:sz w:val="20"/>
                <w:szCs w:val="20"/>
              </w:rPr>
              <w:t>无致菌性，HbsAg阴性，芽孢的平均杀灭对数值均＞3.0。</w:t>
            </w:r>
          </w:p>
        </w:tc>
      </w:tr>
      <w:tr>
        <w:tblPrEx>
          <w:tblCellMar>
            <w:top w:w="15" w:type="dxa"/>
            <w:left w:w="15" w:type="dxa"/>
            <w:bottom w:w="15" w:type="dxa"/>
            <w:right w:w="15" w:type="dxa"/>
          </w:tblCellMar>
        </w:tblPrEx>
        <w:trPr>
          <w:trHeight w:val="499"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lang w:val="en-US" w:eastAsia="zh-CN"/>
              </w:rPr>
              <w:t>1</w:t>
            </w:r>
            <w:r>
              <w:rPr>
                <w:rFonts w:hint="eastAsia" w:ascii="宋体" w:hAnsi="宋体"/>
                <w:sz w:val="20"/>
                <w:szCs w:val="20"/>
              </w:rPr>
              <w:t>.20</w:t>
            </w:r>
          </w:p>
        </w:tc>
        <w:tc>
          <w:tcPr>
            <w:tcW w:w="19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2"/>
                <w:sz w:val="20"/>
                <w:szCs w:val="20"/>
                <w:lang w:val="en-US" w:eastAsia="zh-CN" w:bidi="ar-SA"/>
              </w:rPr>
            </w:pPr>
            <w:r>
              <w:rPr>
                <w:rFonts w:hint="eastAsia" w:ascii="宋体" w:hAnsi="宋体"/>
                <w:sz w:val="20"/>
                <w:szCs w:val="20"/>
              </w:rPr>
              <w:t>清洗、消毒次数记录</w:t>
            </w:r>
          </w:p>
        </w:tc>
        <w:tc>
          <w:tcPr>
            <w:tcW w:w="5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2"/>
                <w:sz w:val="20"/>
                <w:szCs w:val="20"/>
                <w:lang w:val="en-US" w:eastAsia="zh-CN" w:bidi="ar-SA"/>
              </w:rPr>
            </w:pPr>
            <w:r>
              <w:rPr>
                <w:rFonts w:hint="eastAsia" w:ascii="宋体" w:hAnsi="宋体"/>
                <w:sz w:val="20"/>
                <w:szCs w:val="20"/>
              </w:rPr>
              <w:t>每完成一次消毒过程，微电脑自动计入，屏上显示；每更换一次消毒液后又重新自动记录消毒液的使用次数。机器每工作一个过程，微电脑自动计入，屏上显示。</w:t>
            </w:r>
          </w:p>
        </w:tc>
      </w:tr>
    </w:tbl>
    <w:p>
      <w:pPr>
        <w:spacing w:before="29" w:line="267" w:lineRule="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二、保修</w:t>
      </w:r>
    </w:p>
    <w:p>
      <w:pPr>
        <w:spacing w:before="29" w:line="267"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乙方有义务将设备现场安装交付甲方使用，全部设备</w:t>
      </w:r>
      <w:r>
        <w:rPr>
          <w:rFonts w:hint="eastAsia" w:ascii="宋体" w:hAnsi="宋体" w:eastAsia="宋体" w:cs="宋体"/>
          <w:color w:val="auto"/>
          <w:kern w:val="0"/>
          <w:sz w:val="24"/>
          <w:szCs w:val="24"/>
        </w:rPr>
        <w:t>保修至少</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年，保修期内，出现的产品质量问题、安装问题及产品故障，由乙方免费负责包修、包换或包退，并承担因此而产生的一切费用。乙方应在收到甲方通知后【12】小时内派员到现场维修，并在【24】小时内消除故障</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如未消除需提供备用机</w:t>
      </w:r>
      <w:r>
        <w:rPr>
          <w:rFonts w:hint="eastAsia" w:ascii="宋体" w:hAnsi="宋体" w:eastAsia="宋体" w:cs="宋体"/>
          <w:color w:val="auto"/>
          <w:kern w:val="0"/>
          <w:sz w:val="24"/>
          <w:szCs w:val="24"/>
        </w:rPr>
        <w:t>。同时甲方有权聘请第三方消除故障，由此产生的费用由乙方承担。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5NjA0MTk4OGQxMWFhMDQ4YTUxMGNiZTgxMTkxMDEifQ=="/>
  </w:docVars>
  <w:rsids>
    <w:rsidRoot w:val="1299198C"/>
    <w:rsid w:val="02674CA2"/>
    <w:rsid w:val="1299198C"/>
    <w:rsid w:val="37AF7762"/>
    <w:rsid w:val="3FA51C27"/>
    <w:rsid w:val="51562B86"/>
    <w:rsid w:val="57E63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61"/>
    <w:basedOn w:val="3"/>
    <w:qFormat/>
    <w:uiPriority w:val="0"/>
    <w:rPr>
      <w:rFonts w:hint="default" w:ascii="Arial" w:hAnsi="Arial" w:cs="Arial"/>
      <w:color w:val="000000"/>
      <w:sz w:val="22"/>
      <w:szCs w:val="22"/>
      <w:u w:val="none"/>
    </w:rPr>
  </w:style>
  <w:style w:type="character" w:customStyle="1" w:styleId="5">
    <w:name w:val="font51"/>
    <w:basedOn w:val="3"/>
    <w:qFormat/>
    <w:uiPriority w:val="0"/>
    <w:rPr>
      <w:rFonts w:hint="default" w:ascii="Arial" w:hAnsi="Arial" w:cs="Arial"/>
      <w:color w:val="000000"/>
      <w:sz w:val="22"/>
      <w:szCs w:val="22"/>
      <w:u w:val="none"/>
    </w:rPr>
  </w:style>
  <w:style w:type="character" w:customStyle="1" w:styleId="6">
    <w:name w:val="font10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2023-09-04T01:24:00Z</dcterms:created>
  <dc:creator>韩江狼</dc:creator>
  <cp:lastModifiedBy>卜泽元</cp:lastModifiedBy>
  <dcterms:modified xsi:type="dcterms:W3CDTF">2023-10-08T02:38:04Z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EE7512B441284020B1C1FC2019A2B693_11</vt:lpwstr>
  </property>
</Properties>
</file>