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189"/>
        <w:tblOverlap w:val="never"/>
        <w:tblW w:w="5732" w:type="pct"/>
        <w:jc w:val="center"/>
        <w:shd w:val="clear" w:color="auto" w:fill="auto"/>
        <w:tblLayout w:type="autofit"/>
        <w:tblCellMar>
          <w:top w:w="0" w:type="dxa"/>
          <w:left w:w="108" w:type="dxa"/>
          <w:bottom w:w="0" w:type="dxa"/>
          <w:right w:w="108" w:type="dxa"/>
        </w:tblCellMar>
      </w:tblPr>
      <w:tblGrid>
        <w:gridCol w:w="766"/>
        <w:gridCol w:w="2221"/>
        <w:gridCol w:w="4795"/>
        <w:gridCol w:w="1988"/>
      </w:tblGrid>
      <w:tr>
        <w:tblPrEx>
          <w:shd w:val="clear" w:color="auto" w:fill="auto"/>
          <w:tblCellMar>
            <w:top w:w="0" w:type="dxa"/>
            <w:left w:w="108" w:type="dxa"/>
            <w:bottom w:w="0" w:type="dxa"/>
            <w:right w:w="108" w:type="dxa"/>
          </w:tblCellMar>
        </w:tblPrEx>
        <w:trPr>
          <w:trHeight w:val="46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包组</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参数/需求</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2259"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内镜专用过氧乙酸</w:t>
            </w:r>
          </w:p>
        </w:tc>
        <w:tc>
          <w:tcPr>
            <w:tcW w:w="2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内镜专用消毒灭菌剂，对内镜无腐蚀，需提供可用内镜专用省级检测报告；过氧乙酸二次元包装消毒液包含 A 剂和B剂；A 剂为含过氧化的水溶液，浓度≤3%，B 剂为稳定剂和缓蚀剂使用时，将A 剂和B剂混合后，生成过氧乙酸，生成的过氧乙酸浓度最高峰值&lt;0.3%，最低有效浓度=0.1%。</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2、消毒产品5分钟浸泡可达高水平消毒，10 分钟可达灭菌效果，需提供省级检测报告。消毒液连续使用内镜模拟消毒试验报告； 采用说明书一致的最低浓度最短时间(高水平消毒，灭菌试验</w:t>
            </w:r>
            <w:bookmarkStart w:id="0" w:name="_GoBack"/>
            <w:bookmarkEnd w:id="0"/>
            <w:r>
              <w:rPr>
                <w:rFonts w:hint="eastAsia" w:ascii="宋体" w:hAnsi="宋体" w:eastAsia="宋体" w:cs="宋体"/>
                <w:i w:val="0"/>
                <w:iCs w:val="0"/>
                <w:color w:val="000000"/>
                <w:kern w:val="0"/>
                <w:sz w:val="21"/>
                <w:szCs w:val="21"/>
                <w:u w:val="none"/>
                <w:lang w:val="en-US" w:eastAsia="zh-CN" w:bidi="ar"/>
              </w:rPr>
              <w:t>50%的最短时间)对枯草杆菌黑色变种芽抱(不是其他细菌 ) 的杀灭检测报告；检测消毒液连续使用后的过氧乙酸含量报告。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3、配送配套检测试纸: 试纸和消毒剂为同一生产厂商，且试纸有独立省级安全评价报告，试纸在全国消毒网有备案。</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4、消毒剂对人体无害，分解物无毒性，可用于手洗和内镜自动清洗消毒机;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5、产品存放无特殊要求，非危化品，需提供检测报告。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6、附加 1: 消毒剂活化后重复使用7 天，内镜消毒剂灭菌不低于最低使用有效浓度 1000mg/L。</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7、附加 2: 每 10L 用于消机器工作的消毒液 (原液或配制成稀释液)的成本不高于 600 元。</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技术规格/要求偏离表</w:t>
      </w:r>
    </w:p>
    <w:tbl>
      <w:tblPr>
        <w:tblStyle w:val="4"/>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13"/>
        <w:gridCol w:w="1837"/>
        <w:gridCol w:w="1963"/>
        <w:gridCol w:w="1575"/>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0" w:type="dxa"/>
            <w:noWrap w:val="0"/>
            <w:vAlign w:val="center"/>
          </w:tcPr>
          <w:p>
            <w:pPr>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包组</w:t>
            </w:r>
          </w:p>
        </w:tc>
        <w:tc>
          <w:tcPr>
            <w:tcW w:w="2013" w:type="dxa"/>
            <w:noWrap w:val="0"/>
            <w:vAlign w:val="center"/>
          </w:tcPr>
          <w:p>
            <w:pPr>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技术参数要求</w:t>
            </w:r>
          </w:p>
        </w:tc>
        <w:tc>
          <w:tcPr>
            <w:tcW w:w="1837"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实际情况</w:t>
            </w:r>
          </w:p>
        </w:tc>
        <w:tc>
          <w:tcPr>
            <w:tcW w:w="1963" w:type="dxa"/>
            <w:noWrap w:val="0"/>
            <w:vAlign w:val="center"/>
          </w:tcPr>
          <w:p>
            <w:pPr>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偏离简述</w:t>
            </w:r>
          </w:p>
          <w:p>
            <w:pPr>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（正/负偏离）</w:t>
            </w:r>
          </w:p>
        </w:tc>
        <w:tc>
          <w:tcPr>
            <w:tcW w:w="1575"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备注</w:t>
            </w:r>
          </w:p>
        </w:tc>
        <w:tc>
          <w:tcPr>
            <w:tcW w:w="2290" w:type="dxa"/>
            <w:noWrap w:val="0"/>
            <w:vAlign w:val="center"/>
          </w:tcPr>
          <w:p>
            <w:pPr>
              <w:jc w:val="center"/>
              <w:rPr>
                <w:rFonts w:hint="eastAsia" w:ascii="仿宋" w:hAnsi="仿宋" w:eastAsia="仿宋" w:cs="仿宋"/>
                <w:b w:val="0"/>
                <w:bCs/>
                <w:sz w:val="24"/>
                <w:szCs w:val="24"/>
                <w:lang w:val="en-US" w:eastAsia="zh-CN" w:bidi="en-US"/>
              </w:rPr>
            </w:pPr>
            <w:r>
              <w:rPr>
                <w:rFonts w:hint="eastAsia" w:ascii="仿宋" w:hAnsi="仿宋" w:eastAsia="仿宋" w:cs="仿宋"/>
                <w:b w:val="0"/>
                <w:bCs/>
                <w:sz w:val="24"/>
                <w:szCs w:val="24"/>
                <w:lang w:eastAsia="zh-CN"/>
              </w:rPr>
              <w:t>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0"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2013" w:type="dxa"/>
            <w:noWrap w:val="0"/>
            <w:vAlign w:val="center"/>
          </w:tcPr>
          <w:p>
            <w:pPr>
              <w:jc w:val="center"/>
              <w:rPr>
                <w:rFonts w:hint="eastAsia" w:ascii="仿宋" w:hAnsi="仿宋" w:eastAsia="仿宋" w:cs="仿宋"/>
                <w:b w:val="0"/>
                <w:bCs/>
                <w:sz w:val="24"/>
                <w:szCs w:val="24"/>
                <w:highlight w:val="none"/>
              </w:rPr>
            </w:pPr>
          </w:p>
        </w:tc>
        <w:tc>
          <w:tcPr>
            <w:tcW w:w="1837" w:type="dxa"/>
            <w:noWrap w:val="0"/>
            <w:vAlign w:val="center"/>
          </w:tcPr>
          <w:p>
            <w:pPr>
              <w:jc w:val="center"/>
              <w:rPr>
                <w:rFonts w:hint="eastAsia" w:ascii="仿宋" w:hAnsi="仿宋" w:eastAsia="仿宋" w:cs="仿宋"/>
                <w:b w:val="0"/>
                <w:bCs/>
                <w:sz w:val="24"/>
                <w:szCs w:val="24"/>
                <w:highlight w:val="none"/>
              </w:rPr>
            </w:pPr>
          </w:p>
        </w:tc>
        <w:tc>
          <w:tcPr>
            <w:tcW w:w="1963" w:type="dxa"/>
            <w:noWrap w:val="0"/>
            <w:vAlign w:val="center"/>
          </w:tcPr>
          <w:p>
            <w:pPr>
              <w:jc w:val="center"/>
              <w:rPr>
                <w:rFonts w:hint="eastAsia" w:ascii="仿宋" w:hAnsi="仿宋" w:eastAsia="仿宋" w:cs="仿宋"/>
                <w:b w:val="0"/>
                <w:bCs/>
                <w:sz w:val="24"/>
                <w:szCs w:val="24"/>
                <w:highlight w:val="none"/>
              </w:rPr>
            </w:pPr>
          </w:p>
        </w:tc>
        <w:tc>
          <w:tcPr>
            <w:tcW w:w="1575" w:type="dxa"/>
            <w:noWrap w:val="0"/>
            <w:vAlign w:val="center"/>
          </w:tcPr>
          <w:p>
            <w:pPr>
              <w:jc w:val="center"/>
              <w:rPr>
                <w:rFonts w:hint="eastAsia" w:ascii="仿宋" w:hAnsi="仿宋" w:eastAsia="仿宋" w:cs="仿宋"/>
                <w:b w:val="0"/>
                <w:bCs/>
                <w:sz w:val="24"/>
                <w:szCs w:val="24"/>
                <w:highlight w:val="none"/>
              </w:rPr>
            </w:pPr>
          </w:p>
        </w:tc>
        <w:tc>
          <w:tcPr>
            <w:tcW w:w="2290" w:type="dxa"/>
            <w:noWrap w:val="0"/>
            <w:vAlign w:val="center"/>
          </w:tcPr>
          <w:p>
            <w:pPr>
              <w:jc w:val="center"/>
              <w:rPr>
                <w:rFonts w:hint="eastAsia" w:ascii="仿宋" w:hAnsi="仿宋" w:eastAsia="仿宋" w:cs="仿宋"/>
                <w:b w:val="0"/>
                <w:bCs/>
                <w:sz w:val="24"/>
                <w:szCs w:val="24"/>
                <w:lang w:val="en-US" w:eastAsia="zh-CN" w:bidi="en-US"/>
              </w:rPr>
            </w:pPr>
            <w:r>
              <w:rPr>
                <w:rFonts w:hint="eastAsia" w:ascii="仿宋" w:hAnsi="仿宋" w:eastAsia="仿宋" w:cs="仿宋"/>
                <w:b w:val="0"/>
                <w:bCs/>
                <w:sz w:val="24"/>
                <w:szCs w:val="24"/>
                <w:lang w:eastAsia="zh-CN"/>
              </w:rPr>
              <w:t>见报名资料第</w:t>
            </w:r>
            <w:r>
              <w:rPr>
                <w:rFonts w:hint="eastAsia" w:ascii="仿宋" w:hAnsi="仿宋" w:eastAsia="仿宋" w:cs="仿宋"/>
                <w:b w:val="0"/>
                <w:bCs/>
                <w:sz w:val="24"/>
                <w:szCs w:val="24"/>
                <w:u w:val="single"/>
                <w:lang w:eastAsia="zh-CN"/>
              </w:rPr>
              <w:t xml:space="preserve">  </w:t>
            </w:r>
            <w:r>
              <w:rPr>
                <w:rFonts w:hint="eastAsia" w:ascii="仿宋" w:hAnsi="仿宋" w:eastAsia="仿宋" w:cs="仿宋"/>
                <w:b w:val="0"/>
                <w:bCs/>
                <w:sz w:val="24"/>
                <w:szCs w:val="24"/>
                <w:lang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0"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w:t>
            </w:r>
          </w:p>
        </w:tc>
        <w:tc>
          <w:tcPr>
            <w:tcW w:w="2013" w:type="dxa"/>
            <w:noWrap w:val="0"/>
            <w:vAlign w:val="center"/>
          </w:tcPr>
          <w:p>
            <w:pPr>
              <w:jc w:val="center"/>
              <w:rPr>
                <w:rFonts w:hint="eastAsia" w:ascii="仿宋" w:hAnsi="仿宋" w:eastAsia="仿宋" w:cs="仿宋"/>
                <w:b w:val="0"/>
                <w:bCs/>
                <w:sz w:val="24"/>
                <w:szCs w:val="24"/>
                <w:highlight w:val="none"/>
              </w:rPr>
            </w:pPr>
          </w:p>
        </w:tc>
        <w:tc>
          <w:tcPr>
            <w:tcW w:w="1837" w:type="dxa"/>
            <w:noWrap w:val="0"/>
            <w:vAlign w:val="center"/>
          </w:tcPr>
          <w:p>
            <w:pPr>
              <w:jc w:val="center"/>
              <w:rPr>
                <w:rFonts w:hint="eastAsia" w:ascii="仿宋" w:hAnsi="仿宋" w:eastAsia="仿宋" w:cs="仿宋"/>
                <w:b w:val="0"/>
                <w:bCs/>
                <w:sz w:val="24"/>
                <w:szCs w:val="24"/>
                <w:highlight w:val="none"/>
              </w:rPr>
            </w:pPr>
          </w:p>
        </w:tc>
        <w:tc>
          <w:tcPr>
            <w:tcW w:w="1963" w:type="dxa"/>
            <w:noWrap w:val="0"/>
            <w:vAlign w:val="center"/>
          </w:tcPr>
          <w:p>
            <w:pPr>
              <w:jc w:val="center"/>
              <w:rPr>
                <w:rFonts w:hint="eastAsia" w:ascii="仿宋" w:hAnsi="仿宋" w:eastAsia="仿宋" w:cs="仿宋"/>
                <w:b w:val="0"/>
                <w:bCs/>
                <w:sz w:val="24"/>
                <w:szCs w:val="24"/>
                <w:highlight w:val="none"/>
              </w:rPr>
            </w:pPr>
          </w:p>
        </w:tc>
        <w:tc>
          <w:tcPr>
            <w:tcW w:w="1575" w:type="dxa"/>
            <w:noWrap w:val="0"/>
            <w:vAlign w:val="center"/>
          </w:tcPr>
          <w:p>
            <w:pPr>
              <w:jc w:val="center"/>
              <w:rPr>
                <w:rFonts w:hint="eastAsia" w:ascii="仿宋" w:hAnsi="仿宋" w:eastAsia="仿宋" w:cs="仿宋"/>
                <w:b w:val="0"/>
                <w:bCs/>
                <w:sz w:val="24"/>
                <w:szCs w:val="24"/>
                <w:highlight w:val="none"/>
              </w:rPr>
            </w:pPr>
          </w:p>
        </w:tc>
        <w:tc>
          <w:tcPr>
            <w:tcW w:w="2290" w:type="dxa"/>
            <w:noWrap w:val="0"/>
            <w:vAlign w:val="center"/>
          </w:tcPr>
          <w:p>
            <w:pPr>
              <w:jc w:val="center"/>
              <w:rPr>
                <w:rFonts w:hint="eastAsia" w:ascii="仿宋" w:hAnsi="仿宋" w:eastAsia="仿宋" w:cs="仿宋"/>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0"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p>
        </w:tc>
        <w:tc>
          <w:tcPr>
            <w:tcW w:w="2013" w:type="dxa"/>
            <w:noWrap w:val="0"/>
            <w:vAlign w:val="center"/>
          </w:tcPr>
          <w:p>
            <w:pPr>
              <w:jc w:val="center"/>
              <w:rPr>
                <w:rFonts w:hint="eastAsia" w:ascii="仿宋" w:hAnsi="仿宋" w:eastAsia="仿宋" w:cs="仿宋"/>
                <w:b w:val="0"/>
                <w:bCs/>
                <w:sz w:val="24"/>
                <w:szCs w:val="24"/>
                <w:highlight w:val="none"/>
              </w:rPr>
            </w:pPr>
          </w:p>
        </w:tc>
        <w:tc>
          <w:tcPr>
            <w:tcW w:w="1837" w:type="dxa"/>
            <w:noWrap w:val="0"/>
            <w:vAlign w:val="center"/>
          </w:tcPr>
          <w:p>
            <w:pPr>
              <w:jc w:val="center"/>
              <w:rPr>
                <w:rFonts w:hint="eastAsia" w:ascii="仿宋" w:hAnsi="仿宋" w:eastAsia="仿宋" w:cs="仿宋"/>
                <w:b w:val="0"/>
                <w:bCs/>
                <w:sz w:val="24"/>
                <w:szCs w:val="24"/>
                <w:highlight w:val="none"/>
              </w:rPr>
            </w:pPr>
          </w:p>
        </w:tc>
        <w:tc>
          <w:tcPr>
            <w:tcW w:w="1963" w:type="dxa"/>
            <w:noWrap w:val="0"/>
            <w:vAlign w:val="center"/>
          </w:tcPr>
          <w:p>
            <w:pPr>
              <w:jc w:val="center"/>
              <w:rPr>
                <w:rFonts w:hint="eastAsia" w:ascii="仿宋" w:hAnsi="仿宋" w:eastAsia="仿宋" w:cs="仿宋"/>
                <w:b w:val="0"/>
                <w:bCs/>
                <w:sz w:val="24"/>
                <w:szCs w:val="24"/>
                <w:highlight w:val="none"/>
              </w:rPr>
            </w:pPr>
          </w:p>
        </w:tc>
        <w:tc>
          <w:tcPr>
            <w:tcW w:w="1575" w:type="dxa"/>
            <w:noWrap w:val="0"/>
            <w:vAlign w:val="center"/>
          </w:tcPr>
          <w:p>
            <w:pPr>
              <w:jc w:val="center"/>
              <w:rPr>
                <w:rFonts w:hint="eastAsia" w:ascii="仿宋" w:hAnsi="仿宋" w:eastAsia="仿宋" w:cs="仿宋"/>
                <w:b w:val="0"/>
                <w:bCs/>
                <w:sz w:val="24"/>
                <w:szCs w:val="24"/>
                <w:highlight w:val="none"/>
              </w:rPr>
            </w:pPr>
          </w:p>
        </w:tc>
        <w:tc>
          <w:tcPr>
            <w:tcW w:w="2290" w:type="dxa"/>
            <w:noWrap w:val="0"/>
            <w:vAlign w:val="center"/>
          </w:tcPr>
          <w:p>
            <w:pPr>
              <w:jc w:val="center"/>
              <w:rPr>
                <w:rFonts w:hint="eastAsia" w:ascii="仿宋" w:hAnsi="仿宋" w:eastAsia="仿宋" w:cs="仿宋"/>
                <w:b w:val="0"/>
                <w:bCs/>
                <w:sz w:val="24"/>
                <w:szCs w:val="24"/>
                <w:highlight w:val="none"/>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①对应项中的所有技术参数、性能和配置全部符合要求的才能填写“符合”；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②对应项中的所有技术参数、性能和配置</w:t>
      </w:r>
      <w:r>
        <w:rPr>
          <w:rFonts w:hint="eastAsia" w:ascii="仿宋" w:hAnsi="仿宋" w:eastAsia="仿宋" w:cs="仿宋"/>
          <w:sz w:val="24"/>
          <w:szCs w:val="24"/>
          <w:lang w:eastAsia="zh-CN"/>
        </w:rPr>
        <w:t>中</w:t>
      </w:r>
      <w:r>
        <w:rPr>
          <w:rFonts w:hint="eastAsia" w:ascii="仿宋" w:hAnsi="仿宋" w:eastAsia="仿宋" w:cs="仿宋"/>
          <w:sz w:val="24"/>
          <w:szCs w:val="24"/>
        </w:rPr>
        <w:t>全部符合采购文件要求并且其中有一个或以上指标优于采购文件要求的，可填写“正偏离”；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③对应项中的所有技术参数、性能和配置中有任何一项不能达到采购文件要求的，必须填写“负偏离”；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④“正偏离”、“负偏离”两者中偏离的情况必须在备注栏中说明对使用的影响。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outlineLvl w:val="9"/>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ayui-icon ! importa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FBEEA976-A53A-40CE-8C18-A8C1D0663ACF}"/>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ZWY1ZTNjNWM3ZjVlMWIyYzA4MmQxNjZhNWEyNTQifQ=="/>
  </w:docVars>
  <w:rsids>
    <w:rsidRoot w:val="40B62F00"/>
    <w:rsid w:val="01CF1530"/>
    <w:rsid w:val="02083422"/>
    <w:rsid w:val="03897017"/>
    <w:rsid w:val="04620D45"/>
    <w:rsid w:val="088E6002"/>
    <w:rsid w:val="091826A1"/>
    <w:rsid w:val="093704D5"/>
    <w:rsid w:val="0C8F40D9"/>
    <w:rsid w:val="0DF91E0E"/>
    <w:rsid w:val="102B2027"/>
    <w:rsid w:val="111A2BC4"/>
    <w:rsid w:val="11420613"/>
    <w:rsid w:val="11D9627A"/>
    <w:rsid w:val="11E1125D"/>
    <w:rsid w:val="12AA1B9C"/>
    <w:rsid w:val="15B115AE"/>
    <w:rsid w:val="15DE4380"/>
    <w:rsid w:val="16C077F6"/>
    <w:rsid w:val="19DE77BA"/>
    <w:rsid w:val="1A83762F"/>
    <w:rsid w:val="1B43540F"/>
    <w:rsid w:val="1BAE071B"/>
    <w:rsid w:val="1BFD7D2D"/>
    <w:rsid w:val="1D7303B9"/>
    <w:rsid w:val="1EEB4C59"/>
    <w:rsid w:val="219D365E"/>
    <w:rsid w:val="21BA6C13"/>
    <w:rsid w:val="26C1503C"/>
    <w:rsid w:val="28703ABC"/>
    <w:rsid w:val="29A87D4E"/>
    <w:rsid w:val="2A620B35"/>
    <w:rsid w:val="2A81520E"/>
    <w:rsid w:val="2B32410A"/>
    <w:rsid w:val="2B783C78"/>
    <w:rsid w:val="2D264BC1"/>
    <w:rsid w:val="2DF87BEC"/>
    <w:rsid w:val="2EBF4557"/>
    <w:rsid w:val="2F806C76"/>
    <w:rsid w:val="30F04464"/>
    <w:rsid w:val="34FD01CA"/>
    <w:rsid w:val="36E92D03"/>
    <w:rsid w:val="38085036"/>
    <w:rsid w:val="39BE06B6"/>
    <w:rsid w:val="3A263D72"/>
    <w:rsid w:val="3C9F59DC"/>
    <w:rsid w:val="3CD105F0"/>
    <w:rsid w:val="3CFE26EE"/>
    <w:rsid w:val="3F5D7D21"/>
    <w:rsid w:val="40384169"/>
    <w:rsid w:val="40B62F00"/>
    <w:rsid w:val="41A8413B"/>
    <w:rsid w:val="43FA3D74"/>
    <w:rsid w:val="44B00772"/>
    <w:rsid w:val="45F811E1"/>
    <w:rsid w:val="466E4745"/>
    <w:rsid w:val="46971BE9"/>
    <w:rsid w:val="481B4A0C"/>
    <w:rsid w:val="49AE16BB"/>
    <w:rsid w:val="4D1374FC"/>
    <w:rsid w:val="4ED2123A"/>
    <w:rsid w:val="4F013CD2"/>
    <w:rsid w:val="522602BC"/>
    <w:rsid w:val="527F28B3"/>
    <w:rsid w:val="55EB160A"/>
    <w:rsid w:val="569D1B20"/>
    <w:rsid w:val="57312F81"/>
    <w:rsid w:val="59895F42"/>
    <w:rsid w:val="59941BF9"/>
    <w:rsid w:val="59BB12F3"/>
    <w:rsid w:val="59E07773"/>
    <w:rsid w:val="59E12AF4"/>
    <w:rsid w:val="5D4A4E35"/>
    <w:rsid w:val="5D50269A"/>
    <w:rsid w:val="5E4E1E08"/>
    <w:rsid w:val="5EA73745"/>
    <w:rsid w:val="610F2C55"/>
    <w:rsid w:val="6151052C"/>
    <w:rsid w:val="628B6950"/>
    <w:rsid w:val="62BA03CD"/>
    <w:rsid w:val="62BA29C8"/>
    <w:rsid w:val="662050E9"/>
    <w:rsid w:val="687428CB"/>
    <w:rsid w:val="69643755"/>
    <w:rsid w:val="69D07B6C"/>
    <w:rsid w:val="6B5E3B5B"/>
    <w:rsid w:val="6B7D194D"/>
    <w:rsid w:val="6BB60684"/>
    <w:rsid w:val="6D535020"/>
    <w:rsid w:val="6E7B072C"/>
    <w:rsid w:val="709A5537"/>
    <w:rsid w:val="70A3688F"/>
    <w:rsid w:val="717324D9"/>
    <w:rsid w:val="72C90067"/>
    <w:rsid w:val="73722F12"/>
    <w:rsid w:val="739834C2"/>
    <w:rsid w:val="74732805"/>
    <w:rsid w:val="74A26AA5"/>
    <w:rsid w:val="753A65E0"/>
    <w:rsid w:val="76824ACE"/>
    <w:rsid w:val="77310EAA"/>
    <w:rsid w:val="7736636C"/>
    <w:rsid w:val="77571B4E"/>
    <w:rsid w:val="776A0429"/>
    <w:rsid w:val="79132AA2"/>
    <w:rsid w:val="7C0C3654"/>
    <w:rsid w:val="7DC210ED"/>
    <w:rsid w:val="7E3D401D"/>
    <w:rsid w:val="7F6B7B58"/>
    <w:rsid w:val="7F9C3E82"/>
    <w:rsid w:val="7FC15A4C"/>
    <w:rsid w:val="7FC97BA6"/>
    <w:rsid w:val="7FFC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30"/>
      <w:szCs w:val="30"/>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qFormat/>
    <w:uiPriority w:val="0"/>
    <w:rPr>
      <w:color w:val="000000"/>
      <w:u w:val="none"/>
    </w:rPr>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rPr>
      <w:rFonts w:ascii="layui-icon ! important" w:hAnsi="layui-icon ! important" w:eastAsia="layui-icon ! important" w:cs="layui-icon ! important"/>
      <w:sz w:val="24"/>
      <w:szCs w:val="24"/>
    </w:rPr>
  </w:style>
  <w:style w:type="character" w:styleId="11">
    <w:name w:val="Hyperlink"/>
    <w:basedOn w:val="6"/>
    <w:autoRedefine/>
    <w:qFormat/>
    <w:uiPriority w:val="0"/>
    <w:rPr>
      <w:color w:val="000000"/>
      <w:u w:val="none"/>
    </w:rPr>
  </w:style>
  <w:style w:type="character" w:styleId="12">
    <w:name w:val="HTML Code"/>
    <w:basedOn w:val="6"/>
    <w:autoRedefine/>
    <w:qFormat/>
    <w:uiPriority w:val="0"/>
    <w:rPr>
      <w:rFonts w:ascii="Courier New" w:hAnsi="Courier New"/>
      <w:sz w:val="20"/>
    </w:rPr>
  </w:style>
  <w:style w:type="character" w:styleId="13">
    <w:name w:val="HTML Cite"/>
    <w:basedOn w:val="6"/>
    <w:qFormat/>
    <w:uiPriority w:val="0"/>
  </w:style>
  <w:style w:type="character" w:customStyle="1" w:styleId="14">
    <w:name w:val="first-child"/>
    <w:basedOn w:val="6"/>
    <w:qFormat/>
    <w:uiPriority w:val="0"/>
    <w:rPr>
      <w:color w:val="666666"/>
    </w:rPr>
  </w:style>
  <w:style w:type="character" w:customStyle="1" w:styleId="15">
    <w:name w:val="layui-laypage-curr"/>
    <w:basedOn w:val="6"/>
    <w:qFormat/>
    <w:uiPriority w:val="0"/>
  </w:style>
  <w:style w:type="character" w:customStyle="1" w:styleId="16">
    <w:name w:val="last-child"/>
    <w:basedOn w:val="6"/>
    <w:qFormat/>
    <w:uiPriority w:val="0"/>
    <w:rPr>
      <w:color w:val="999999"/>
      <w:sz w:val="18"/>
      <w:szCs w:val="18"/>
    </w:rPr>
  </w:style>
  <w:style w:type="character" w:customStyle="1" w:styleId="17">
    <w:name w:val="last-child1"/>
    <w:basedOn w:val="6"/>
    <w:autoRedefine/>
    <w:qFormat/>
    <w:uiPriority w:val="0"/>
    <w:rPr>
      <w:color w:val="666666"/>
      <w:sz w:val="18"/>
      <w:szCs w:val="18"/>
    </w:rPr>
  </w:style>
  <w:style w:type="character" w:customStyle="1" w:styleId="18">
    <w:name w:val="last-child2"/>
    <w:basedOn w:val="6"/>
    <w:qFormat/>
    <w:uiPriority w:val="0"/>
    <w:rPr>
      <w:color w:val="666666"/>
      <w:sz w:val="18"/>
      <w:szCs w:val="18"/>
    </w:rPr>
  </w:style>
  <w:style w:type="character" w:customStyle="1" w:styleId="19">
    <w:name w:val="first-child1"/>
    <w:basedOn w:val="6"/>
    <w:qFormat/>
    <w:uiPriority w:val="0"/>
    <w:rPr>
      <w:color w:val="666666"/>
    </w:rPr>
  </w:style>
  <w:style w:type="character" w:customStyle="1" w:styleId="20">
    <w:name w:val="first-child2"/>
    <w:basedOn w:val="6"/>
    <w:autoRedefine/>
    <w:qFormat/>
    <w:uiPriority w:val="0"/>
    <w:rPr>
      <w:color w:val="66666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790</Words>
  <Characters>948</Characters>
  <Lines>0</Lines>
  <Paragraphs>0</Paragraphs>
  <TotalTime>8</TotalTime>
  <ScaleCrop>false</ScaleCrop>
  <LinksUpToDate>false</LinksUpToDate>
  <CharactersWithSpaces>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2018-08-07T07:01:00Z</dcterms:created>
  <dc:creator>Administrator</dc:creator>
  <cp:lastModifiedBy>Rebel</cp:lastModifiedBy>
  <cp:lastPrinted>2023-04-03T07:37:00Z</cp:lastPrinted>
  <dcterms:modified xsi:type="dcterms:W3CDTF">2024-01-15T01:25:27Z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1490F2A17E8E49D9B3FE5BC8D6B6E36E</vt:lpwstr>
  </property>
  <property fmtid="{D5CDD505-2E9C-101B-9397-08002B2CF9AE}" pid="4" name="KSOSaveFontToCloudKey">
    <vt:lpwstr>256549929_cloud</vt:lpwstr>
  </property>
</Properties>
</file>